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120" w:line="240" w:lineRule="auto"/>
        <w:ind w:left="2520" w:right="0" w:hanging="25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 xml:space="preserve">Статья </w:t>
      </w:r>
      <w:r>
        <w:rPr>
          <w:rFonts w:ascii="Times New Roman" w:hAnsi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 xml:space="preserve">6.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>Гарантии безопасности гражданина в связи с его обращением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Запрещается преследование гражданина в связи с его обращением в государственный орган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свобод и законных интересов либо прав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свобод и законных интересов других лиц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tl w:val="0"/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2.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При рассмотрении обращения не допускается разглашение сведений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содержащихся в обращении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а также сведений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касающихся частной жизни гражданина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без его согласия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Не является разглашением сведений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содержащихся в обращении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направление письменного обращения в государственный орган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 местного самоуправления или должностному лицу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в компетенцию которых входит решение поставленных в обращении вопросов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