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Основные термины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используемые в настоящем Федеральном законе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Для целей настоящего Федерального закона используются следующие основные термины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обращение гражданина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далее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направленные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письменной форме или в форме электронного документа предложение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заявление или жалоба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устное обращение гражданина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"http://pravo.gov.ru/proxy/ips/?docbody=&amp;prevDoc=102106413&amp;backlink=1&amp;&amp;nd=102140501"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27.07.2010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227-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предложение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рекомендация гражданина по совершенствованию законов и иных нормативных правовых актов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деятельности государственных органов и органов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развитию общественных отношений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улучшению социально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экономической и иных сфер деятельности государства и общества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заявление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просьба гражданина о содействии в реализации его конституционных прав и свобод или конституционных прав и свобод других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либо сообщение о нарушении законов и иных нормативных правовых актов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недостатках в работе государственных органов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органов местного самоуправления и должностных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либо критика деятельности указанных органов и должностных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жалоба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просьба гражданина о восстановлении или защите его нарушенных прав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 или законных интересов либо прав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 или законных интересов других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должностное лицо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лицо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постоянно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временно или по специальному полномочию осуществляющее функции представителя власти либо выполняющее организационно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распорядительные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административно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хозяйственные функции в государственном органе или органе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