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120" w:line="240" w:lineRule="auto"/>
        <w:ind w:left="2520" w:right="0" w:hanging="252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 xml:space="preserve">Статья 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3.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Правовое регулирование правоотношений</w:t>
      </w:r>
      <w:r>
        <w:rPr>
          <w:rFonts w:ascii="Times New Roman" w:hAnsi="Times New Roman"/>
          <w:b w:val="1"/>
          <w:bCs w:val="1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333333"/>
          <w:sz w:val="36"/>
          <w:szCs w:val="36"/>
          <w:rtl w:val="0"/>
          <w:lang w:val="ru-RU"/>
          <w14:textFill>
            <w14:solidFill>
              <w14:srgbClr w14:val="333333"/>
            </w14:solidFill>
          </w14:textFill>
        </w:rPr>
        <w:t>связанных с рассмотрением обращений граждан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 w:hint="default"/>
          <w:outline w:val="0"/>
          <w:color w:val="333333"/>
          <w:sz w:val="36"/>
          <w:szCs w:val="36"/>
          <w:rtl w:val="0"/>
          <w14:textFill>
            <w14:solidFill>
              <w14:srgbClr w14:val="333333"/>
            </w14:solidFill>
          </w14:textFill>
        </w:rPr>
        <w:t> 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Fonts w:ascii="Times New Roman" w:cs="Times New Roman" w:hAnsi="Times New Roman" w:eastAsia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1.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Правоотношения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связанные с рассмотрением обращений граждан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регулируются Конституцией Российской Федерации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международными договорами Российской Федерации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федеральными конституционными законами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настоящим Федеральным законом и иными федеральными законами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p>
      <w:pPr>
        <w:pStyle w:val="Default"/>
        <w:bidi w:val="0"/>
        <w:spacing w:before="0" w:after="120" w:line="240" w:lineRule="auto"/>
        <w:ind w:left="0" w:right="0" w:firstLine="900"/>
        <w:jc w:val="both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2.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 Законы и иные нормативные правовые акты субъектов Российской Федерации могут устанавливать положения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направленные на защиту права граждан на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в том числе устанавливать гарантии права граждан на обращение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дополняющие гарантии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333333"/>
          <w:sz w:val="26"/>
          <w:szCs w:val="26"/>
          <w:rtl w:val="0"/>
          <w:lang w:val="ru-RU"/>
          <w14:textFill>
            <w14:solidFill>
              <w14:srgbClr w14:val="333333"/>
            </w14:solidFill>
          </w14:textFill>
        </w:rPr>
        <w:t>установленные настоящим Федеральным законом</w:t>
      </w:r>
      <w:r>
        <w:rPr>
          <w:rFonts w:ascii="Times New Roman" w:hAnsi="Times New Roman"/>
          <w:outline w:val="0"/>
          <w:color w:val="333333"/>
          <w:sz w:val="26"/>
          <w:szCs w:val="26"/>
          <w:rtl w:val="0"/>
          <w14:textFill>
            <w14:solidFill>
              <w14:srgbClr w14:val="333333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