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20" w:line="240" w:lineRule="auto"/>
        <w:ind w:left="2520" w:right="0" w:hanging="252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 xml:space="preserve">Статья </w:t>
      </w:r>
      <w:r>
        <w:rPr>
          <w:rFonts w:ascii="Times New Roman" w:hAnsi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 xml:space="preserve">2.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Право граждан на обращение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Граждане имеют право обращаться лично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а также направлять индивидуальные и коллективные обращения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включая обращения объединений граждан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в том числе юридических лиц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в государственные органы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органы местного самоуправления и их должностным лицам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в государственные и муниципальные учреждения и иные организации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на которые возложено осуществление публично значимых функций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и их должностным лицам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(</w:t>
      </w:r>
      <w:r>
        <w:rPr>
          <w:rFonts w:ascii="Times New Roman" w:hAnsi="Times New Roman" w:hint="default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 xml:space="preserve">В редакции Федерального закона </w: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instrText xml:space="preserve"> HYPERLINK "http://pravo.gov.ru/proxy/ips/?docbody=&amp;prevDoc=102106413&amp;backlink=1&amp;&amp;nd=102165164"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от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07.05.2013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 №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80-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ФЗ</w:t>
      </w:r>
      <w:r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)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2.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Граждане реализуют право на обращение свободно и добровольно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Осуществление гражданами права на обращение не должно нарушать права и свободы других лиц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tl w:val="0"/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3.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Рассмотрение обращений граждан осуществляется бесплатно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b1bd6"/>
      <w:u w:val="single" w:color="1b1bd6"/>
      <w14:textFill>
        <w14:solidFill>
          <w14:srgbClr w14:val="1C1CD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