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120" w:line="240" w:lineRule="auto"/>
        <w:ind w:left="2520" w:right="0" w:hanging="252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333333"/>
          <w:sz w:val="36"/>
          <w:szCs w:val="36"/>
          <w:rtl w:val="0"/>
          <w:lang w:val="ru-RU"/>
          <w14:textFill>
            <w14:solidFill>
              <w14:srgbClr w14:val="333333"/>
            </w14:solidFill>
          </w14:textFill>
        </w:rPr>
        <w:t xml:space="preserve">Статья </w:t>
      </w:r>
      <w:r>
        <w:rPr>
          <w:rFonts w:ascii="Times New Roman" w:hAnsi="Times New Roman"/>
          <w:b w:val="1"/>
          <w:bCs w:val="1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  <w:t xml:space="preserve">16. </w:t>
      </w:r>
      <w:r>
        <w:rPr>
          <w:rFonts w:ascii="Times New Roman" w:hAnsi="Times New Roman" w:hint="default"/>
          <w:b w:val="1"/>
          <w:bCs w:val="1"/>
          <w:outline w:val="0"/>
          <w:color w:val="333333"/>
          <w:sz w:val="36"/>
          <w:szCs w:val="36"/>
          <w:rtl w:val="0"/>
          <w:lang w:val="ru-RU"/>
          <w14:textFill>
            <w14:solidFill>
              <w14:srgbClr w14:val="333333"/>
            </w14:solidFill>
          </w14:textFill>
        </w:rPr>
        <w:t>Возмещение причиненных убытков и взыскание понесенных расходов при рассмотрении обращений</w:t>
      </w:r>
    </w:p>
    <w:p>
      <w:pPr>
        <w:pStyle w:val="Default"/>
        <w:bidi w:val="0"/>
        <w:spacing w:before="0" w:after="120" w:line="240" w:lineRule="auto"/>
        <w:ind w:left="0" w:right="0" w:firstLine="900"/>
        <w:jc w:val="both"/>
        <w:rPr>
          <w:rFonts w:ascii="Times New Roman" w:cs="Times New Roman" w:hAnsi="Times New Roman" w:eastAsia="Times New Roman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Default"/>
        <w:bidi w:val="0"/>
        <w:spacing w:before="0" w:after="120" w:line="240" w:lineRule="auto"/>
        <w:ind w:left="0" w:right="0" w:firstLine="900"/>
        <w:jc w:val="both"/>
        <w:rPr>
          <w:rFonts w:ascii="Times New Roman" w:cs="Times New Roman" w:hAnsi="Times New Roman" w:eastAsia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1.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 Гражданин имеет право на возмещение убытков и компенсацию морального вреда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 xml:space="preserve">причиненных незаконным действием 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бездействием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государственного органа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органа местного самоуправления или должностного лица при рассмотрении обращения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по решению суда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Default"/>
        <w:bidi w:val="0"/>
        <w:spacing w:before="0" w:after="120" w:line="240" w:lineRule="auto"/>
        <w:ind w:left="0" w:right="0" w:firstLine="900"/>
        <w:jc w:val="both"/>
        <w:rPr>
          <w:rtl w:val="0"/>
        </w:rPr>
      </w:pP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2.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 В случае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если гражданин указал в обращении заведомо ложные сведения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расходы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понесенные в связи с рассмотрением обращения государственным органом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органом местного самоуправления или должностным лицом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могут быть взысканы с данного гражданина по решению суда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